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959A7">
      <w:pPr>
        <w:keepNext w:val="0"/>
        <w:keepLines w:val="0"/>
        <w:pageBreakBefore w:val="0"/>
        <w:kinsoku/>
        <w:wordWrap/>
        <w:overflowPunct/>
        <w:topLinePunct w:val="0"/>
        <w:autoSpaceDE/>
        <w:autoSpaceDN/>
        <w:bidi w:val="0"/>
        <w:spacing w:line="360" w:lineRule="auto"/>
        <w:jc w:val="left"/>
        <w:textAlignment w:val="auto"/>
        <w:outlineLvl w:val="1"/>
        <w:rPr>
          <w:rFonts w:hint="default" w:ascii="Times New Roman" w:hAnsi="Times New Roman" w:cs="Times New Roman"/>
          <w:b/>
        </w:rPr>
      </w:pPr>
      <w:bookmarkStart w:id="0" w:name="_Toc32311"/>
      <w:r>
        <w:rPr>
          <w:rFonts w:hint="default" w:ascii="Times New Roman" w:hAnsi="Times New Roman" w:cs="Times New Roman"/>
          <w:b/>
        </w:rPr>
        <w:t>2.项目概况与</w:t>
      </w:r>
      <w:r>
        <w:rPr>
          <w:rFonts w:hint="default" w:cs="Times New Roman"/>
          <w:b/>
          <w:lang w:eastAsia="zh-CN"/>
        </w:rPr>
        <w:t>采购</w:t>
      </w:r>
      <w:r>
        <w:rPr>
          <w:rFonts w:hint="default" w:ascii="Times New Roman" w:hAnsi="Times New Roman" w:cs="Times New Roman"/>
          <w:b/>
        </w:rPr>
        <w:t>范围</w:t>
      </w:r>
      <w:bookmarkEnd w:id="0"/>
    </w:p>
    <w:p w14:paraId="7D5385E7">
      <w:pPr>
        <w:keepNext w:val="0"/>
        <w:keepLines w:val="0"/>
        <w:pageBreakBefore w:val="0"/>
        <w:tabs>
          <w:tab w:val="center" w:pos="4422"/>
        </w:tabs>
        <w:kinsoku/>
        <w:wordWrap/>
        <w:overflowPunct/>
        <w:topLinePunct w:val="0"/>
        <w:autoSpaceDE/>
        <w:autoSpaceDN/>
        <w:bidi w:val="0"/>
        <w:spacing w:line="440" w:lineRule="exact"/>
        <w:ind w:firstLine="480" w:firstLineChars="200"/>
        <w:jc w:val="left"/>
        <w:textAlignment w:val="auto"/>
        <w:rPr>
          <w:rFonts w:hint="default" w:ascii="Times New Roman" w:hAnsi="Times New Roman" w:eastAsia="宋体" w:cs="Times New Roman"/>
          <w:lang w:eastAsia="zh-CN"/>
        </w:rPr>
      </w:pPr>
      <w:r>
        <w:rPr>
          <w:rFonts w:hint="default" w:ascii="Times New Roman" w:hAnsi="Times New Roman" w:cs="Times New Roman"/>
        </w:rPr>
        <w:t>2.1 项目概况</w:t>
      </w:r>
      <w:r>
        <w:rPr>
          <w:rFonts w:hint="default" w:cs="Times New Roman"/>
          <w:lang w:eastAsia="zh-CN"/>
        </w:rPr>
        <w:tab/>
      </w:r>
    </w:p>
    <w:p w14:paraId="3E94067C">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cs="Times New Roman"/>
          <w:bCs/>
          <w:color w:val="auto"/>
          <w:szCs w:val="24"/>
          <w:highlight w:val="none"/>
          <w:u w:val="single"/>
          <w:lang w:val="en-US" w:eastAsia="zh-CN" w:bidi="ar"/>
        </w:rPr>
      </w:pPr>
      <w:r>
        <w:rPr>
          <w:rFonts w:hint="default" w:cs="Times New Roman"/>
          <w:bCs/>
          <w:color w:val="auto"/>
          <w:szCs w:val="24"/>
          <w:highlight w:val="none"/>
          <w:u w:val="single"/>
          <w:lang w:val="en-US" w:eastAsia="zh-CN" w:bidi="ar"/>
        </w:rPr>
        <w:t>沪渝高速武汉至黄石段改扩建连接线工程WHGKTJ-3标段路线总体呈东西走向，起于汀祖镇丁祖村（接武黄1标汀祖互通），起点桩号为LK0+450，路线沿既有汀花线布线，于LK6+101刘钊小学南侧下穿武鄂高速现状刘钊大桥（6×30m连续T梁）、于LK7+640下穿武九客专现状花湖特大桥（该处涉铁，不属于本标段施工范围），终点与规划黄鄂黄快速路（纵三）平交，终点桩号为LK8+233.793，路线全长7.784km，按双向四车道一级公路标准建设，设计时速60km/h。</w:t>
      </w:r>
    </w:p>
    <w:p w14:paraId="717FB7AD">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cs="Times New Roman"/>
          <w:bCs/>
          <w:color w:val="auto"/>
          <w:szCs w:val="24"/>
          <w:highlight w:val="none"/>
          <w:u w:val="single"/>
          <w:lang w:val="en-US" w:eastAsia="zh-CN" w:bidi="ar"/>
        </w:rPr>
      </w:pPr>
      <w:r>
        <w:rPr>
          <w:rFonts w:hint="default" w:cs="Times New Roman"/>
          <w:bCs/>
          <w:color w:val="auto"/>
          <w:szCs w:val="24"/>
          <w:highlight w:val="none"/>
          <w:u w:val="single"/>
          <w:lang w:val="en-US" w:eastAsia="zh-CN" w:bidi="ar"/>
        </w:rPr>
        <w:t>本分部起讫桩号LK0+450-LK2+950，长2500m，设置大桥692m/2座，分别为LK0+682谢家咀大桥（22×20m预制T梁）和LK1+788朱家咀大桥（12×20m预制T梁），桥梁占比为18.3%，路基1820m（挖方13.1万m3、填方21.6万m3）。</w:t>
      </w:r>
    </w:p>
    <w:p w14:paraId="6246553C">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lang w:bidi="ar"/>
        </w:rPr>
      </w:pPr>
      <w:r>
        <w:rPr>
          <w:rFonts w:hint="default" w:ascii="Times New Roman" w:hAnsi="Times New Roman" w:cs="Times New Roman"/>
        </w:rPr>
        <w:t xml:space="preserve">2.2 </w:t>
      </w:r>
      <w:r>
        <w:rPr>
          <w:rFonts w:hint="default" w:cs="Times New Roman"/>
          <w:lang w:eastAsia="zh-CN"/>
        </w:rPr>
        <w:t>采购</w:t>
      </w:r>
      <w:r>
        <w:rPr>
          <w:rFonts w:hint="default" w:ascii="Times New Roman" w:hAnsi="Times New Roman" w:cs="Times New Roman"/>
        </w:rPr>
        <w:t>范围</w:t>
      </w:r>
    </w:p>
    <w:p w14:paraId="65FA6A30">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lang w:bidi="ar"/>
        </w:rPr>
      </w:pPr>
      <w:r>
        <w:rPr>
          <w:rFonts w:hint="default" w:ascii="Times New Roman" w:hAnsi="Times New Roman" w:cs="Times New Roman"/>
          <w:lang w:bidi="ar"/>
        </w:rPr>
        <w:t>本次</w:t>
      </w:r>
      <w:r>
        <w:rPr>
          <w:rFonts w:hint="default" w:cs="Times New Roman"/>
          <w:lang w:eastAsia="zh-CN" w:bidi="ar"/>
        </w:rPr>
        <w:t>采购</w:t>
      </w:r>
      <w:r>
        <w:rPr>
          <w:rFonts w:hint="default" w:ascii="Times New Roman" w:hAnsi="Times New Roman" w:cs="Times New Roman"/>
          <w:lang w:bidi="ar"/>
        </w:rPr>
        <w:t>共划</w:t>
      </w:r>
      <w:r>
        <w:rPr>
          <w:rFonts w:hint="default" w:ascii="Times New Roman" w:hAnsi="Times New Roman" w:cs="Times New Roman"/>
          <w:lang w:val="en-US" w:eastAsia="zh-CN" w:bidi="ar"/>
        </w:rPr>
        <w:t>分</w:t>
      </w:r>
      <w:r>
        <w:rPr>
          <w:rFonts w:hint="eastAsia" w:cs="Times New Roman"/>
          <w:u w:val="single"/>
          <w:lang w:val="en-US" w:eastAsia="zh-CN" w:bidi="ar"/>
        </w:rPr>
        <w:t xml:space="preserve"> 1 </w:t>
      </w:r>
      <w:r>
        <w:rPr>
          <w:rFonts w:hint="default" w:ascii="Times New Roman" w:hAnsi="Times New Roman" w:cs="Times New Roman"/>
          <w:lang w:bidi="ar"/>
        </w:rPr>
        <w:t>个合同包，具体</w:t>
      </w:r>
      <w:r>
        <w:rPr>
          <w:rFonts w:hint="default" w:cs="Times New Roman"/>
          <w:lang w:eastAsia="zh-CN" w:bidi="ar"/>
        </w:rPr>
        <w:t>采购</w:t>
      </w:r>
      <w:r>
        <w:rPr>
          <w:rFonts w:hint="default" w:ascii="Times New Roman" w:hAnsi="Times New Roman" w:cs="Times New Roman"/>
          <w:lang w:bidi="ar"/>
        </w:rPr>
        <w:t>范围如下：</w:t>
      </w:r>
    </w:p>
    <w:tbl>
      <w:tblPr>
        <w:tblStyle w:val="7"/>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77"/>
        <w:gridCol w:w="1861"/>
        <w:gridCol w:w="2172"/>
        <w:gridCol w:w="1663"/>
        <w:gridCol w:w="1663"/>
      </w:tblGrid>
      <w:tr w14:paraId="14EC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7" w:type="dxa"/>
            <w:noWrap w:val="0"/>
            <w:vAlign w:val="center"/>
          </w:tcPr>
          <w:p w14:paraId="4C3D1771">
            <w:pPr>
              <w:keepNext w:val="0"/>
              <w:keepLines w:val="0"/>
              <w:pageBreakBefore w:val="0"/>
              <w:widowControl/>
              <w:kinsoku/>
              <w:wordWrap/>
              <w:overflowPunct/>
              <w:topLinePunct w:val="0"/>
              <w:autoSpaceDE/>
              <w:autoSpaceDN/>
              <w:bidi w:val="0"/>
              <w:spacing w:line="440" w:lineRule="exact"/>
              <w:ind w:firstLine="210" w:firstLineChars="100"/>
              <w:jc w:val="left"/>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序号</w:t>
            </w:r>
          </w:p>
        </w:tc>
        <w:tc>
          <w:tcPr>
            <w:tcW w:w="1077" w:type="dxa"/>
            <w:noWrap w:val="0"/>
            <w:vAlign w:val="center"/>
          </w:tcPr>
          <w:p w14:paraId="47404210">
            <w:pPr>
              <w:keepNext w:val="0"/>
              <w:keepLines w:val="0"/>
              <w:pageBreakBefore w:val="0"/>
              <w:widowControl/>
              <w:kinsoku/>
              <w:wordWrap/>
              <w:overflowPunct/>
              <w:topLinePunct w:val="0"/>
              <w:autoSpaceDE/>
              <w:autoSpaceDN/>
              <w:bidi w:val="0"/>
              <w:spacing w:line="440" w:lineRule="exact"/>
              <w:ind w:firstLine="210" w:firstLineChars="100"/>
              <w:jc w:val="left"/>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合同包</w:t>
            </w:r>
          </w:p>
        </w:tc>
        <w:tc>
          <w:tcPr>
            <w:tcW w:w="1861" w:type="dxa"/>
            <w:noWrap w:val="0"/>
            <w:vAlign w:val="center"/>
          </w:tcPr>
          <w:p w14:paraId="2FC5BA51">
            <w:pPr>
              <w:keepNext w:val="0"/>
              <w:keepLines w:val="0"/>
              <w:pageBreakBefore w:val="0"/>
              <w:widowControl/>
              <w:kinsoku/>
              <w:wordWrap/>
              <w:overflowPunct/>
              <w:topLinePunct w:val="0"/>
              <w:autoSpaceDE/>
              <w:autoSpaceDN/>
              <w:bidi w:val="0"/>
              <w:spacing w:line="440" w:lineRule="exact"/>
              <w:ind w:firstLine="420" w:firstLineChars="200"/>
              <w:jc w:val="left"/>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材料名称</w:t>
            </w:r>
          </w:p>
        </w:tc>
        <w:tc>
          <w:tcPr>
            <w:tcW w:w="2172" w:type="dxa"/>
            <w:noWrap w:val="0"/>
            <w:vAlign w:val="center"/>
          </w:tcPr>
          <w:p w14:paraId="1D3602FF">
            <w:pPr>
              <w:keepNext w:val="0"/>
              <w:keepLines w:val="0"/>
              <w:pageBreakBefore w:val="0"/>
              <w:widowControl/>
              <w:kinsoku/>
              <w:wordWrap/>
              <w:overflowPunct/>
              <w:topLinePunct w:val="0"/>
              <w:autoSpaceDE/>
              <w:autoSpaceDN/>
              <w:bidi w:val="0"/>
              <w:spacing w:line="440" w:lineRule="exact"/>
              <w:ind w:firstLine="420" w:firstLineChars="200"/>
              <w:jc w:val="left"/>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送货地点</w:t>
            </w:r>
          </w:p>
        </w:tc>
        <w:tc>
          <w:tcPr>
            <w:tcW w:w="1663" w:type="dxa"/>
            <w:noWrap w:val="0"/>
            <w:vAlign w:val="center"/>
          </w:tcPr>
          <w:p w14:paraId="0AFA7261">
            <w:pPr>
              <w:keepNext w:val="0"/>
              <w:keepLines w:val="0"/>
              <w:pageBreakBefore w:val="0"/>
              <w:widowControl/>
              <w:kinsoku/>
              <w:wordWrap/>
              <w:overflowPunct/>
              <w:topLinePunct w:val="0"/>
              <w:autoSpaceDE/>
              <w:autoSpaceDN/>
              <w:bidi w:val="0"/>
              <w:spacing w:line="440" w:lineRule="exact"/>
              <w:ind w:firstLine="0" w:firstLineChars="0"/>
              <w:jc w:val="left"/>
              <w:textAlignment w:val="auto"/>
              <w:outlineLvl w:val="9"/>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计划总量（吨）</w:t>
            </w:r>
          </w:p>
        </w:tc>
        <w:tc>
          <w:tcPr>
            <w:tcW w:w="1663" w:type="dxa"/>
            <w:noWrap w:val="0"/>
            <w:vAlign w:val="center"/>
          </w:tcPr>
          <w:p w14:paraId="2374E131">
            <w:pPr>
              <w:keepNext w:val="0"/>
              <w:keepLines w:val="0"/>
              <w:pageBreakBefore w:val="0"/>
              <w:widowControl/>
              <w:kinsoku/>
              <w:wordWrap/>
              <w:overflowPunct/>
              <w:topLinePunct w:val="0"/>
              <w:autoSpaceDE/>
              <w:autoSpaceDN/>
              <w:bidi w:val="0"/>
              <w:spacing w:line="440" w:lineRule="exact"/>
              <w:ind w:firstLine="420" w:firstLineChars="200"/>
              <w:jc w:val="left"/>
              <w:textAlignment w:val="auto"/>
              <w:outlineLvl w:val="9"/>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1"/>
                <w:szCs w:val="21"/>
                <w:lang w:bidi="ar"/>
              </w:rPr>
              <w:t>备注</w:t>
            </w:r>
          </w:p>
        </w:tc>
      </w:tr>
      <w:tr w14:paraId="4A88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7" w:type="dxa"/>
            <w:noWrap w:val="0"/>
            <w:vAlign w:val="center"/>
          </w:tcPr>
          <w:p w14:paraId="223A67A2">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077" w:type="dxa"/>
            <w:noWrap w:val="0"/>
            <w:vAlign w:val="center"/>
          </w:tcPr>
          <w:p w14:paraId="4A289F19">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sz w:val="21"/>
                <w:szCs w:val="21"/>
                <w:lang w:val="en-US" w:eastAsia="zh-CN"/>
              </w:rPr>
              <w:t>第1</w:t>
            </w:r>
            <w:r>
              <w:rPr>
                <w:rFonts w:hint="eastAsia" w:ascii="宋体" w:hAnsi="宋体" w:eastAsia="宋体" w:cs="宋体"/>
                <w:sz w:val="21"/>
                <w:szCs w:val="21"/>
                <w:lang w:val="en-US" w:eastAsia="zh-CN"/>
              </w:rPr>
              <w:t>合同包</w:t>
            </w:r>
          </w:p>
        </w:tc>
        <w:tc>
          <w:tcPr>
            <w:tcW w:w="1861" w:type="dxa"/>
            <w:noWrap w:val="0"/>
            <w:vAlign w:val="center"/>
          </w:tcPr>
          <w:p w14:paraId="44D726AA">
            <w:pPr>
              <w:pStyle w:val="6"/>
              <w:keepNext w:val="0"/>
              <w:keepLines w:val="0"/>
              <w:pageBreakBefore w:val="0"/>
              <w:widowControl/>
              <w:kinsoku/>
              <w:wordWrap/>
              <w:overflowPunct/>
              <w:topLinePunct w:val="0"/>
              <w:autoSpaceDE/>
              <w:autoSpaceDN/>
              <w:bidi w:val="0"/>
              <w:spacing w:after="0" w:line="440" w:lineRule="exact"/>
              <w:ind w:left="0" w:leftChars="0" w:firstLine="0" w:firstLineChars="0"/>
              <w:jc w:val="center"/>
              <w:rPr>
                <w:rFonts w:hint="eastAsia" w:ascii="宋体" w:hAnsi="宋体" w:eastAsia="宋体" w:cs="宋体"/>
                <w:kern w:val="2"/>
                <w:sz w:val="21"/>
                <w:szCs w:val="21"/>
                <w:highlight w:val="yellow"/>
                <w:lang w:val="en-US" w:eastAsia="zh-CN" w:bidi="ar-SA"/>
              </w:rPr>
            </w:pPr>
            <w:r>
              <w:rPr>
                <w:rFonts w:hint="eastAsia" w:ascii="宋体" w:hAnsi="宋体" w:eastAsia="宋体" w:cs="宋体"/>
                <w:color w:val="auto"/>
                <w:sz w:val="21"/>
                <w:szCs w:val="21"/>
                <w:highlight w:val="none"/>
                <w:lang w:val="en-US" w:eastAsia="zh-CN"/>
              </w:rPr>
              <w:t>开山石渣</w:t>
            </w:r>
          </w:p>
        </w:tc>
        <w:tc>
          <w:tcPr>
            <w:tcW w:w="2172" w:type="dxa"/>
            <w:noWrap w:val="0"/>
            <w:vAlign w:val="center"/>
          </w:tcPr>
          <w:p w14:paraId="4BBA30D2">
            <w:pPr>
              <w:pStyle w:val="6"/>
              <w:keepNext w:val="0"/>
              <w:keepLines w:val="0"/>
              <w:pageBreakBefore w:val="0"/>
              <w:widowControl/>
              <w:kinsoku/>
              <w:wordWrap/>
              <w:overflowPunct/>
              <w:topLinePunct w:val="0"/>
              <w:autoSpaceDE/>
              <w:autoSpaceDN/>
              <w:bidi w:val="0"/>
              <w:spacing w:after="0" w:line="440" w:lineRule="exact"/>
              <w:ind w:left="0" w:leftChars="0" w:firstLine="0" w:firstLineChars="0"/>
              <w:jc w:val="both"/>
              <w:rPr>
                <w:rFonts w:hint="default" w:ascii="宋体" w:hAnsi="宋体" w:eastAsia="宋体" w:cs="宋体"/>
                <w:kern w:val="2"/>
                <w:sz w:val="21"/>
                <w:szCs w:val="21"/>
                <w:highlight w:val="yellow"/>
                <w:lang w:val="en-US" w:eastAsia="zh-CN" w:bidi="ar-SA"/>
              </w:rPr>
            </w:pPr>
            <w:r>
              <w:rPr>
                <w:rFonts w:hint="eastAsia" w:ascii="宋体" w:hAnsi="宋体" w:eastAsia="宋体" w:cs="宋体"/>
                <w:kern w:val="2"/>
                <w:sz w:val="21"/>
                <w:szCs w:val="21"/>
                <w:highlight w:val="none"/>
                <w:lang w:val="en-US" w:eastAsia="zh-CN" w:bidi="ar-SA"/>
              </w:rPr>
              <w:t>鄂州市武黄连接线项目施工现场</w:t>
            </w:r>
          </w:p>
        </w:tc>
        <w:tc>
          <w:tcPr>
            <w:tcW w:w="1663" w:type="dxa"/>
            <w:noWrap w:val="0"/>
            <w:vAlign w:val="center"/>
          </w:tcPr>
          <w:p w14:paraId="5FDCBEA9">
            <w:pPr>
              <w:pStyle w:val="5"/>
              <w:numPr>
                <w:ilvl w:val="0"/>
                <w:numId w:val="0"/>
              </w:numPr>
              <w:ind w:left="0" w:leftChars="0" w:firstLine="0" w:firstLineChars="0"/>
              <w:jc w:val="center"/>
              <w:rPr>
                <w:rFonts w:hint="default" w:ascii="宋体" w:hAnsi="宋体" w:eastAsia="宋体" w:cs="宋体"/>
                <w:color w:val="auto"/>
                <w:kern w:val="0"/>
                <w:sz w:val="21"/>
                <w:szCs w:val="21"/>
                <w:highlight w:val="none"/>
                <w:lang w:val="en-US" w:eastAsia="zh-CN" w:bidi="ar-SA"/>
              </w:rPr>
            </w:pPr>
            <w:r>
              <w:rPr>
                <w:rFonts w:hint="eastAsia" w:ascii="Times New Roman" w:hAnsi="Times New Roman" w:cs="Times New Roman"/>
                <w:color w:val="auto"/>
                <w:sz w:val="20"/>
                <w:szCs w:val="20"/>
                <w:highlight w:val="none"/>
                <w:lang w:val="en-US" w:eastAsia="zh-CN"/>
              </w:rPr>
              <w:t>201468.2</w:t>
            </w:r>
          </w:p>
        </w:tc>
        <w:tc>
          <w:tcPr>
            <w:tcW w:w="1663" w:type="dxa"/>
            <w:noWrap w:val="0"/>
            <w:vAlign w:val="center"/>
          </w:tcPr>
          <w:p w14:paraId="76879335">
            <w:pPr>
              <w:keepNext w:val="0"/>
              <w:keepLines w:val="0"/>
              <w:pageBreakBefore w:val="0"/>
              <w:widowControl/>
              <w:kinsoku/>
              <w:wordWrap/>
              <w:overflowPunct/>
              <w:topLinePunct w:val="0"/>
              <w:autoSpaceDE/>
              <w:autoSpaceDN/>
              <w:bidi w:val="0"/>
              <w:spacing w:line="440" w:lineRule="exact"/>
              <w:jc w:val="center"/>
              <w:textAlignment w:val="center"/>
              <w:outlineLvl w:val="9"/>
              <w:rPr>
                <w:rFonts w:hint="eastAsia" w:ascii="仿宋_GB2312" w:hAnsi="仿宋_GB2312" w:eastAsia="仿宋_GB2312" w:cs="仿宋_GB2312"/>
                <w:color w:val="000000"/>
                <w:sz w:val="24"/>
                <w:szCs w:val="24"/>
                <w:lang w:val="en-US" w:eastAsia="zh-CN" w:bidi="ar"/>
              </w:rPr>
            </w:pPr>
          </w:p>
        </w:tc>
      </w:tr>
    </w:tbl>
    <w:p w14:paraId="490CBF67">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2.3 供货起始时间：</w:t>
      </w:r>
      <w:r>
        <w:rPr>
          <w:rFonts w:hint="eastAsia" w:cs="Times New Roman"/>
          <w:u w:val="single"/>
          <w:lang w:val="en-US" w:eastAsia="zh-CN"/>
        </w:rPr>
        <w:t>2025年7月</w:t>
      </w:r>
      <w:r>
        <w:rPr>
          <w:rFonts w:hint="default" w:cs="Times New Roman"/>
          <w:lang w:val="en-US" w:eastAsia="zh-CN"/>
        </w:rPr>
        <w:t>，具体以采购人通知为准。</w:t>
      </w:r>
    </w:p>
    <w:p w14:paraId="76AF5108">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2.4 供货地点：</w:t>
      </w:r>
      <w:r>
        <w:rPr>
          <w:rFonts w:hint="default" w:cs="Times New Roman"/>
          <w:u w:val="single"/>
          <w:lang w:val="en-US" w:eastAsia="zh-CN"/>
        </w:rPr>
        <w:t>鄂州市（具体以甲方通知为准）</w:t>
      </w:r>
      <w:r>
        <w:rPr>
          <w:rFonts w:hint="default" w:cs="Times New Roman"/>
          <w:lang w:val="en-US" w:eastAsia="zh-CN"/>
        </w:rPr>
        <w:t>。</w:t>
      </w:r>
    </w:p>
    <w:p w14:paraId="61E70876">
      <w:pPr>
        <w:keepNext w:val="0"/>
        <w:keepLines w:val="0"/>
        <w:pageBreakBefore w:val="0"/>
        <w:kinsoku/>
        <w:wordWrap/>
        <w:overflowPunct/>
        <w:topLinePunct w:val="0"/>
        <w:autoSpaceDE/>
        <w:autoSpaceDN/>
        <w:bidi w:val="0"/>
        <w:spacing w:line="440" w:lineRule="exact"/>
        <w:ind w:firstLine="480" w:firstLineChars="200"/>
        <w:jc w:val="left"/>
        <w:textAlignment w:val="auto"/>
        <w:rPr>
          <w:rFonts w:hint="default" w:cs="Times New Roman"/>
          <w:u w:val="single"/>
          <w:lang w:val="en-US" w:eastAsia="zh-CN"/>
        </w:rPr>
      </w:pPr>
      <w:r>
        <w:rPr>
          <w:rFonts w:hint="default" w:ascii="Times New Roman" w:hAnsi="Times New Roman" w:cs="Times New Roman"/>
        </w:rPr>
        <w:t>2.</w:t>
      </w:r>
      <w:r>
        <w:rPr>
          <w:rFonts w:hint="default" w:cs="Times New Roman"/>
          <w:lang w:val="en-US" w:eastAsia="zh-CN"/>
        </w:rPr>
        <w:t>5</w:t>
      </w:r>
      <w:r>
        <w:rPr>
          <w:rFonts w:hint="default" w:ascii="Times New Roman" w:hAnsi="Times New Roman" w:cs="Times New Roman"/>
        </w:rPr>
        <w:t xml:space="preserve"> 质量标准</w:t>
      </w:r>
      <w:r>
        <w:rPr>
          <w:rFonts w:hint="default" w:cs="Times New Roman"/>
          <w:lang w:eastAsia="zh-CN"/>
        </w:rPr>
        <w:t>：</w:t>
      </w:r>
      <w:r>
        <w:rPr>
          <w:rFonts w:hint="default" w:cs="Times New Roman"/>
          <w:u w:val="single"/>
          <w:lang w:val="en-US" w:eastAsia="zh-CN"/>
        </w:rPr>
        <w:t>未筛分碎石：级配采用G-B-2型，最大公称粒径不得大于37.5mm，石料的压碎值不应大于30%，针片状颗粒含量应不超过20%，碎石强度不低于30Mpa，其中不应含有粘土块、植物等害物质。</w:t>
      </w:r>
    </w:p>
    <w:p w14:paraId="56F95628">
      <w:pPr>
        <w:rPr>
          <w:rFonts w:hint="default" w:ascii="Times New Roman" w:hAnsi="Times New Roman" w:cs="Times New Roman"/>
          <w:color w:val="auto"/>
          <w:sz w:val="32"/>
          <w:szCs w:val="32"/>
        </w:rPr>
      </w:pPr>
      <w:r>
        <w:rPr>
          <w:rFonts w:hint="default" w:cs="Times New Roman"/>
          <w:u w:val="single"/>
          <w:lang w:val="en-US" w:eastAsia="zh-CN"/>
        </w:rPr>
        <w:t>开山石渣：最大粒径不大于15cm（路床部分不大于10cm）、其中粒径大于6cm的颗粒质量少于或等于总质量的15%、粒径大于2mm的颗粒质量超过总质量的50%</w:t>
      </w:r>
      <w:r>
        <w:rPr>
          <w:rFonts w:hint="default" w:cs="Times New Roman"/>
          <w:u w:val="none"/>
          <w:lang w:val="en-US" w:eastAsia="zh-CN"/>
        </w:rPr>
        <w:t>。</w:t>
      </w:r>
      <w:bookmarkStart w:id="1" w:name="_GoBack"/>
      <w:bookmarkEnd w:id="1"/>
      <w:r>
        <w:rPr>
          <w:rFonts w:hint="default" w:ascii="Times New Roman" w:hAnsi="Times New Roman" w:cs="Times New Roman"/>
          <w:color w:val="auto"/>
          <w:sz w:val="32"/>
          <w:szCs w:val="32"/>
        </w:rPr>
        <w:br w:type="page"/>
      </w:r>
    </w:p>
    <w:p w14:paraId="39B649A8">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1</w:t>
      </w:r>
    </w:p>
    <w:p w14:paraId="4B8F0A7F">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附录1 资格审查条件（资质最低要求）</w:t>
      </w:r>
    </w:p>
    <w:p w14:paraId="669AB9FB">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7177"/>
      </w:tblGrid>
      <w:tr w14:paraId="7AC4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89" w:type="pct"/>
            <w:noWrap w:val="0"/>
            <w:vAlign w:val="center"/>
          </w:tcPr>
          <w:p w14:paraId="2E79D999">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0" w:type="pct"/>
            <w:noWrap w:val="0"/>
            <w:vAlign w:val="center"/>
          </w:tcPr>
          <w:p w14:paraId="3E75D057">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14:paraId="2CA2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6" w:hRule="atLeast"/>
          <w:jc w:val="center"/>
        </w:trPr>
        <w:tc>
          <w:tcPr>
            <w:tcW w:w="789" w:type="pct"/>
            <w:noWrap w:val="0"/>
            <w:vAlign w:val="center"/>
          </w:tcPr>
          <w:p w14:paraId="3FC242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cs="Times New Roman"/>
                <w:color w:val="auto"/>
                <w:sz w:val="24"/>
                <w:szCs w:val="24"/>
                <w:lang w:val="en-US" w:eastAsia="zh-CN"/>
              </w:rPr>
              <w:t>第1合同包</w:t>
            </w:r>
          </w:p>
        </w:tc>
        <w:tc>
          <w:tcPr>
            <w:tcW w:w="4210" w:type="pct"/>
            <w:noWrap w:val="0"/>
            <w:vAlign w:val="center"/>
          </w:tcPr>
          <w:p w14:paraId="57B8F844">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（1）申请人若为</w:t>
            </w:r>
            <w:r>
              <w:rPr>
                <w:rFonts w:hint="eastAsia" w:ascii="宋体" w:hAnsi="宋体" w:cs="宋体"/>
                <w:b/>
                <w:bCs/>
                <w:i w:val="0"/>
                <w:iCs w:val="0"/>
                <w:color w:val="000000"/>
                <w:kern w:val="0"/>
                <w:sz w:val="24"/>
                <w:szCs w:val="24"/>
                <w:highlight w:val="none"/>
                <w:u w:val="none"/>
                <w:lang w:val="en-US" w:eastAsia="zh-CN" w:bidi="ar"/>
              </w:rPr>
              <w:t>拥有采矿权的</w:t>
            </w:r>
            <w:r>
              <w:rPr>
                <w:rFonts w:hint="eastAsia" w:ascii="宋体" w:hAnsi="宋体" w:eastAsia="宋体" w:cs="宋体"/>
                <w:b/>
                <w:bCs/>
                <w:i w:val="0"/>
                <w:iCs w:val="0"/>
                <w:color w:val="000000"/>
                <w:kern w:val="0"/>
                <w:sz w:val="24"/>
                <w:szCs w:val="24"/>
                <w:highlight w:val="none"/>
                <w:u w:val="none"/>
                <w:lang w:val="en-US" w:eastAsia="zh-CN" w:bidi="ar"/>
              </w:rPr>
              <w:t>厂家</w:t>
            </w:r>
            <w:r>
              <w:rPr>
                <w:rFonts w:hint="eastAsia" w:ascii="宋体" w:hAnsi="宋体" w:eastAsia="宋体" w:cs="宋体"/>
                <w:i w:val="0"/>
                <w:iCs w:val="0"/>
                <w:color w:val="000000"/>
                <w:kern w:val="0"/>
                <w:sz w:val="24"/>
                <w:szCs w:val="24"/>
                <w:highlight w:val="none"/>
                <w:u w:val="none"/>
                <w:lang w:val="en-US" w:eastAsia="zh-CN" w:bidi="ar"/>
              </w:rPr>
              <w:t>，须</w:t>
            </w:r>
            <w:r>
              <w:rPr>
                <w:rFonts w:hint="eastAsia" w:ascii="宋体" w:hAnsi="宋体" w:cs="宋体"/>
                <w:i w:val="0"/>
                <w:iCs w:val="0"/>
                <w:color w:val="000000"/>
                <w:kern w:val="0"/>
                <w:sz w:val="24"/>
                <w:szCs w:val="24"/>
                <w:highlight w:val="none"/>
                <w:u w:val="none"/>
                <w:lang w:val="en-US" w:eastAsia="zh-CN" w:bidi="ar"/>
              </w:rPr>
              <w:t>同时</w:t>
            </w:r>
            <w:r>
              <w:rPr>
                <w:rFonts w:hint="eastAsia" w:ascii="宋体" w:hAnsi="宋体" w:eastAsia="宋体" w:cs="宋体"/>
                <w:i w:val="0"/>
                <w:iCs w:val="0"/>
                <w:color w:val="000000"/>
                <w:kern w:val="0"/>
                <w:sz w:val="24"/>
                <w:szCs w:val="24"/>
                <w:highlight w:val="none"/>
                <w:u w:val="none"/>
                <w:lang w:val="en-US" w:eastAsia="zh-CN" w:bidi="ar"/>
              </w:rPr>
              <w:t>具备：</w:t>
            </w:r>
          </w:p>
          <w:p w14:paraId="32F7EA50">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①独立的法人资格，具备有效的《营业执照》。</w:t>
            </w:r>
          </w:p>
          <w:p w14:paraId="5B32E75D">
            <w:pPr>
              <w:keepNext w:val="0"/>
              <w:keepLines w:val="0"/>
              <w:widowControl/>
              <w:suppressLineNumbers w:val="0"/>
              <w:spacing w:line="360" w:lineRule="auto"/>
              <w:jc w:val="both"/>
              <w:textAlignment w:val="center"/>
            </w:pPr>
            <w:r>
              <w:rPr>
                <w:rFonts w:hint="eastAsia" w:ascii="宋体" w:hAnsi="宋体" w:eastAsia="宋体" w:cs="宋体"/>
                <w:i w:val="0"/>
                <w:iCs w:val="0"/>
                <w:color w:val="000000"/>
                <w:kern w:val="0"/>
                <w:sz w:val="24"/>
                <w:szCs w:val="24"/>
                <w:highlight w:val="none"/>
                <w:u w:val="none"/>
                <w:lang w:val="en-US" w:eastAsia="zh-CN" w:bidi="ar"/>
              </w:rPr>
              <w:t>②有效的《安全生产许可证》、《采矿许可证》。</w:t>
            </w:r>
          </w:p>
          <w:p w14:paraId="6EACB5E6">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）申请人若为</w:t>
            </w:r>
            <w:r>
              <w:rPr>
                <w:rFonts w:hint="eastAsia" w:ascii="宋体" w:hAnsi="宋体" w:eastAsia="宋体" w:cs="宋体"/>
                <w:b/>
                <w:bCs/>
                <w:i w:val="0"/>
                <w:iCs w:val="0"/>
                <w:color w:val="000000"/>
                <w:kern w:val="0"/>
                <w:sz w:val="24"/>
                <w:szCs w:val="24"/>
                <w:highlight w:val="none"/>
                <w:u w:val="none"/>
                <w:lang w:val="en-US" w:eastAsia="zh-CN" w:bidi="ar"/>
              </w:rPr>
              <w:t>经销商</w:t>
            </w:r>
            <w:r>
              <w:rPr>
                <w:rFonts w:hint="eastAsia" w:ascii="宋体" w:hAnsi="宋体" w:eastAsia="宋体" w:cs="宋体"/>
                <w:i w:val="0"/>
                <w:iCs w:val="0"/>
                <w:color w:val="000000"/>
                <w:kern w:val="0"/>
                <w:sz w:val="24"/>
                <w:szCs w:val="24"/>
                <w:highlight w:val="none"/>
                <w:u w:val="none"/>
                <w:lang w:val="en-US" w:eastAsia="zh-CN" w:bidi="ar"/>
              </w:rPr>
              <w:t>，须具备：</w:t>
            </w:r>
          </w:p>
          <w:p w14:paraId="291895D8">
            <w:pPr>
              <w:rPr>
                <w:rFonts w:hint="default"/>
                <w:lang w:val="en-US" w:eastAsia="zh-CN"/>
              </w:rPr>
            </w:pPr>
            <w:r>
              <w:rPr>
                <w:rFonts w:hint="eastAsia" w:ascii="宋体" w:hAnsi="宋体" w:eastAsia="宋体" w:cs="宋体"/>
                <w:i w:val="0"/>
                <w:iCs w:val="0"/>
                <w:color w:val="000000"/>
                <w:kern w:val="0"/>
                <w:sz w:val="24"/>
                <w:szCs w:val="24"/>
                <w:highlight w:val="none"/>
                <w:u w:val="none"/>
                <w:lang w:val="en-US" w:eastAsia="zh-CN" w:bidi="ar"/>
              </w:rPr>
              <w:t>①独立的法人资格，具备有效的营业执照。</w:t>
            </w:r>
          </w:p>
        </w:tc>
      </w:tr>
    </w:tbl>
    <w:p w14:paraId="604809F0">
      <w:pPr>
        <w:pStyle w:val="4"/>
        <w:pageBreakBefore w:val="0"/>
        <w:kinsoku/>
        <w:overflowPunct/>
        <w:topLinePunct w:val="0"/>
        <w:bidi w:val="0"/>
        <w:spacing w:line="440" w:lineRule="exact"/>
        <w:ind w:left="0" w:leftChars="0" w:firstLine="0" w:firstLineChars="0"/>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注：1、</w:t>
      </w:r>
      <w:r>
        <w:rPr>
          <w:rFonts w:hint="default" w:eastAsia="黑体"/>
          <w:color w:val="auto"/>
          <w:highlight w:val="none"/>
        </w:rPr>
        <w:t>供应商应提供营业执照及资格要求的其他证明材料扫描件。</w:t>
      </w:r>
    </w:p>
    <w:p w14:paraId="0106E659">
      <w:pPr>
        <w:pStyle w:val="4"/>
        <w:pageBreakBefore w:val="0"/>
        <w:kinsoku/>
        <w:overflowPunct/>
        <w:topLinePunct w:val="0"/>
        <w:bidi w:val="0"/>
        <w:spacing w:line="440" w:lineRule="exact"/>
        <w:ind w:left="0" w:leftChars="0" w:firstLine="0" w:firstLineChars="0"/>
        <w:rPr>
          <w:rFonts w:hint="default" w:ascii="Times New Roman" w:hAnsi="Times New Roman" w:eastAsia="黑体" w:cs="Times New Roman"/>
          <w:color w:val="auto"/>
          <w:sz w:val="21"/>
          <w:szCs w:val="24"/>
          <w:highlight w:val="none"/>
        </w:rPr>
      </w:pPr>
      <w:r>
        <w:rPr>
          <w:rFonts w:hint="default" w:ascii="Times New Roman" w:hAnsi="Times New Roman" w:eastAsia="黑体" w:cs="Times New Roman"/>
          <w:color w:val="auto"/>
          <w:sz w:val="21"/>
          <w:szCs w:val="24"/>
          <w:highlight w:val="none"/>
        </w:rPr>
        <w:t>2、对于法人发生重组或变更的</w:t>
      </w:r>
      <w:r>
        <w:rPr>
          <w:rFonts w:hint="eastAsia" w:eastAsia="黑体" w:cs="Times New Roman"/>
          <w:color w:val="auto"/>
          <w:sz w:val="21"/>
          <w:szCs w:val="24"/>
          <w:highlight w:val="none"/>
          <w:lang w:eastAsia="zh-CN"/>
        </w:rPr>
        <w:t>供应商</w:t>
      </w:r>
      <w:r>
        <w:rPr>
          <w:rFonts w:hint="default" w:ascii="Times New Roman" w:hAnsi="Times New Roman" w:eastAsia="黑体" w:cs="Times New Roman"/>
          <w:color w:val="auto"/>
          <w:sz w:val="21"/>
          <w:szCs w:val="24"/>
          <w:highlight w:val="none"/>
        </w:rPr>
        <w:t>，应提供法人重组或变更时相关部门的合法批件、变更时的营业执照、相关证书的变更记录扫描件。</w:t>
      </w:r>
    </w:p>
    <w:p w14:paraId="3B69F179">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p>
    <w:p w14:paraId="715E3DAE">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附录2 资格审查条件（财务最低要求）</w:t>
      </w:r>
    </w:p>
    <w:p w14:paraId="163955D5">
      <w:pPr>
        <w:pStyle w:val="6"/>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7248"/>
      </w:tblGrid>
      <w:tr w14:paraId="4008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337" w:type="dxa"/>
            <w:noWrap w:val="0"/>
            <w:vAlign w:val="center"/>
          </w:tcPr>
          <w:p w14:paraId="6B2C2BCC">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724" w:type="dxa"/>
            <w:noWrap w:val="0"/>
            <w:vAlign w:val="center"/>
          </w:tcPr>
          <w:p w14:paraId="2B7FAD62">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财务要求</w:t>
            </w:r>
          </w:p>
        </w:tc>
      </w:tr>
      <w:tr w14:paraId="30B0B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jc w:val="center"/>
        </w:trPr>
        <w:tc>
          <w:tcPr>
            <w:tcW w:w="1337" w:type="dxa"/>
            <w:noWrap w:val="0"/>
            <w:vAlign w:val="center"/>
          </w:tcPr>
          <w:p w14:paraId="4D887A55">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724" w:type="dxa"/>
            <w:noWrap w:val="0"/>
            <w:vAlign w:val="center"/>
          </w:tcPr>
          <w:p w14:paraId="3E513A5C">
            <w:pPr>
              <w:pStyle w:val="6"/>
              <w:pageBreakBefore w:val="0"/>
              <w:kinsoku/>
              <w:overflowPunct/>
              <w:topLinePunct w:val="0"/>
              <w:bidi w:val="0"/>
              <w:spacing w:after="0" w:line="360" w:lineRule="auto"/>
              <w:ind w:left="0" w:leftChars="0" w:firstLine="0" w:firstLineChars="0"/>
              <w:rPr>
                <w:rFonts w:hint="default" w:ascii="Times New Roman" w:hAnsi="Times New Roman" w:cs="Times New Roman"/>
                <w:color w:val="auto"/>
                <w:highlight w:val="none"/>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default" w:cs="Times New Roman"/>
                <w:i w:val="0"/>
                <w:color w:val="auto"/>
                <w:kern w:val="0"/>
                <w:sz w:val="24"/>
                <w:szCs w:val="22"/>
                <w:highlight w:val="none"/>
                <w:u w:val="none"/>
                <w:lang w:val="en-US" w:eastAsia="zh-CN" w:bidi="ar"/>
              </w:rPr>
              <w:t>一：</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800</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160</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cs="Times New Roman"/>
                <w:i w:val="0"/>
                <w:color w:val="auto"/>
                <w:kern w:val="0"/>
                <w:sz w:val="24"/>
                <w:szCs w:val="22"/>
                <w:highlight w:val="none"/>
                <w:u w:val="none"/>
                <w:lang w:val="en-US" w:eastAsia="zh-CN" w:bidi="ar"/>
              </w:rPr>
              <w:t>方式二：</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2025</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4</w:t>
            </w:r>
            <w:r>
              <w:rPr>
                <w:rFonts w:hint="default" w:cs="Times New Roman"/>
                <w:i w:val="0"/>
                <w:color w:val="auto"/>
                <w:kern w:val="0"/>
                <w:sz w:val="24"/>
                <w:szCs w:val="22"/>
                <w:highlight w:val="none"/>
                <w:u w:val="none"/>
                <w:lang w:val="en-US" w:eastAsia="zh-CN" w:bidi="ar"/>
              </w:rPr>
              <w:t>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single"/>
                <w:lang w:val="en-US" w:eastAsia="zh-CN" w:bidi="ar"/>
              </w:rPr>
              <w:t>2025</w:t>
            </w:r>
            <w:r>
              <w:rPr>
                <w:rFonts w:hint="default" w:cs="Times New Roman"/>
                <w:i w:val="0"/>
                <w:color w:val="auto"/>
                <w:kern w:val="0"/>
                <w:sz w:val="24"/>
                <w:szCs w:val="22"/>
                <w:highlight w:val="none"/>
                <w:u w:val="single"/>
                <w:lang w:val="en-US" w:eastAsia="zh-CN" w:bidi="ar"/>
              </w:rPr>
              <w:t xml:space="preserve"> </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5</w:t>
            </w:r>
            <w:r>
              <w:rPr>
                <w:rFonts w:hint="default" w:ascii="Times New Roman" w:hAnsi="Times New Roman" w:eastAsia="宋体" w:cs="Times New Roman"/>
                <w:i w:val="0"/>
                <w:color w:val="auto"/>
                <w:kern w:val="0"/>
                <w:sz w:val="24"/>
                <w:szCs w:val="22"/>
                <w:highlight w:val="none"/>
                <w:u w:val="none"/>
                <w:lang w:val="en-US" w:eastAsia="zh-CN" w:bidi="ar"/>
              </w:rPr>
              <w:t>月、</w:t>
            </w:r>
            <w:r>
              <w:rPr>
                <w:rFonts w:hint="eastAsia" w:cs="Times New Roman"/>
                <w:i w:val="0"/>
                <w:color w:val="auto"/>
                <w:kern w:val="0"/>
                <w:sz w:val="24"/>
                <w:szCs w:val="22"/>
                <w:highlight w:val="none"/>
                <w:u w:val="single"/>
                <w:lang w:val="en-US" w:eastAsia="zh-CN" w:bidi="ar"/>
              </w:rPr>
              <w:t>2025</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default" w:cs="Times New Roman"/>
                <w:i w:val="0"/>
                <w:color w:val="auto"/>
                <w:kern w:val="0"/>
                <w:sz w:val="24"/>
                <w:szCs w:val="22"/>
                <w:highlight w:val="none"/>
                <w:u w:val="single"/>
                <w:lang w:val="en-US" w:eastAsia="zh-CN" w:bidi="ar"/>
              </w:rPr>
              <w:t xml:space="preserve"> </w:t>
            </w:r>
            <w:r>
              <w:rPr>
                <w:rFonts w:hint="eastAsia" w:cs="Times New Roman"/>
                <w:i w:val="0"/>
                <w:color w:val="auto"/>
                <w:kern w:val="0"/>
                <w:sz w:val="24"/>
                <w:szCs w:val="22"/>
                <w:highlight w:val="none"/>
                <w:u w:val="single"/>
                <w:lang w:val="en-US" w:eastAsia="zh-CN" w:bidi="ar"/>
              </w:rPr>
              <w:t>6</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w:t>
            </w:r>
            <w:r>
              <w:rPr>
                <w:rFonts w:hint="eastAsia" w:cs="Times New Roman"/>
                <w:i w:val="0"/>
                <w:color w:val="auto"/>
                <w:kern w:val="0"/>
                <w:sz w:val="24"/>
                <w:szCs w:val="22"/>
                <w:highlight w:val="none"/>
                <w:u w:val="none"/>
                <w:lang w:val="en-US" w:eastAsia="zh-CN" w:bidi="ar"/>
              </w:rPr>
              <w:t>3个月</w:t>
            </w:r>
            <w:r>
              <w:rPr>
                <w:rFonts w:hint="default" w:ascii="Times New Roman" w:hAnsi="Times New Roman" w:eastAsia="宋体" w:cs="Times New Roman"/>
                <w:i w:val="0"/>
                <w:color w:val="auto"/>
                <w:kern w:val="0"/>
                <w:sz w:val="24"/>
                <w:szCs w:val="22"/>
                <w:highlight w:val="none"/>
                <w:u w:val="none"/>
                <w:lang w:val="en-US" w:eastAsia="zh-CN" w:bidi="ar"/>
              </w:rPr>
              <w:t>月末账户余额平均值不少于</w:t>
            </w:r>
            <w:r>
              <w:rPr>
                <w:rFonts w:hint="eastAsia" w:cs="Times New Roman"/>
                <w:i w:val="0"/>
                <w:color w:val="auto"/>
                <w:kern w:val="0"/>
                <w:sz w:val="24"/>
                <w:szCs w:val="22"/>
                <w:highlight w:val="none"/>
                <w:u w:val="none"/>
                <w:lang w:val="en-US" w:eastAsia="zh-CN" w:bidi="ar"/>
              </w:rPr>
              <w:t>20</w:t>
            </w:r>
            <w:r>
              <w:rPr>
                <w:rFonts w:hint="default" w:ascii="Times New Roman" w:hAnsi="Times New Roman" w:eastAsia="宋体" w:cs="Times New Roman"/>
                <w:i w:val="0"/>
                <w:color w:val="auto"/>
                <w:kern w:val="0"/>
                <w:sz w:val="24"/>
                <w:szCs w:val="22"/>
                <w:highlight w:val="none"/>
                <w:u w:val="none"/>
                <w:lang w:val="en-US" w:eastAsia="zh-CN" w:bidi="ar"/>
              </w:rPr>
              <w:t>万元。</w:t>
            </w:r>
          </w:p>
          <w:p w14:paraId="4528BF79">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color w:val="auto"/>
                <w:szCs w:val="28"/>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tc>
      </w:tr>
    </w:tbl>
    <w:p w14:paraId="153F4ADD">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注：1.采用方式</w:t>
      </w:r>
      <w:r>
        <w:rPr>
          <w:rFonts w:hint="default" w:eastAsia="黑体" w:cs="Times New Roman"/>
          <w:color w:val="auto"/>
          <w:sz w:val="21"/>
          <w:lang w:val="en-US" w:eastAsia="zh-CN"/>
        </w:rPr>
        <w:t>一</w:t>
      </w:r>
      <w:r>
        <w:rPr>
          <w:rFonts w:hint="default" w:ascii="Times New Roman" w:hAnsi="Times New Roman" w:eastAsia="黑体" w:cs="Times New Roman"/>
          <w:color w:val="auto"/>
          <w:sz w:val="21"/>
        </w:rPr>
        <w:t>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default"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14:paraId="18F2545D">
      <w:pPr>
        <w:pStyle w:val="9"/>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2.采用方式</w:t>
      </w:r>
      <w:r>
        <w:rPr>
          <w:rFonts w:hint="default" w:eastAsia="黑体" w:cs="Times New Roman"/>
          <w:color w:val="auto"/>
          <w:sz w:val="21"/>
          <w:lang w:val="en-US" w:eastAsia="zh-CN"/>
        </w:rPr>
        <w:t>二</w:t>
      </w:r>
      <w:r>
        <w:rPr>
          <w:rFonts w:hint="default" w:ascii="Times New Roman" w:hAnsi="Times New Roman" w:eastAsia="黑体" w:cs="Times New Roman"/>
          <w:color w:val="auto"/>
          <w:sz w:val="21"/>
        </w:rPr>
        <w:t>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申请日前3个月内的单位账户流水证明。</w:t>
      </w:r>
    </w:p>
    <w:p w14:paraId="7340A377">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14:paraId="2C8528F8">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14:paraId="6B13571F">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14:paraId="1851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269" w:type="dxa"/>
            <w:noWrap w:val="0"/>
            <w:vAlign w:val="center"/>
          </w:tcPr>
          <w:p w14:paraId="4BC862C2">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14:paraId="3E93F6D7">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业绩要求</w:t>
            </w:r>
          </w:p>
        </w:tc>
      </w:tr>
      <w:tr w14:paraId="2E6A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1269" w:type="dxa"/>
            <w:noWrap w:val="0"/>
            <w:vAlign w:val="center"/>
          </w:tcPr>
          <w:p w14:paraId="592DF7B9">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14:paraId="3BBC01BF">
            <w:pPr>
              <w:numPr>
                <w:ilvl w:val="0"/>
                <w:numId w:val="0"/>
              </w:numPr>
              <w:spacing w:line="360" w:lineRule="auto"/>
              <w:rPr>
                <w:highlight w:val="none"/>
              </w:rPr>
            </w:pPr>
            <w:r>
              <w:rPr>
                <w:rFonts w:hint="eastAsia" w:ascii="宋体" w:hAnsi="宋体" w:cs="宋体"/>
                <w:i w:val="0"/>
                <w:iCs w:val="0"/>
                <w:color w:val="000000"/>
                <w:kern w:val="0"/>
                <w:sz w:val="24"/>
                <w:szCs w:val="24"/>
                <w:highlight w:val="none"/>
                <w:u w:val="none"/>
                <w:lang w:val="en-US" w:eastAsia="zh-CN" w:bidi="ar"/>
              </w:rPr>
              <w:t>供应商同时具备以下业绩：</w:t>
            </w:r>
          </w:p>
          <w:p w14:paraId="4F0B52FF">
            <w:pPr>
              <w:keepNext w:val="0"/>
              <w:keepLines w:val="0"/>
              <w:pageBreakBefore w:val="0"/>
              <w:numPr>
                <w:ilvl w:val="-1"/>
                <w:numId w:val="0"/>
              </w:numPr>
              <w:kinsoku/>
              <w:overflowPunct/>
              <w:topLinePunct w:val="0"/>
              <w:autoSpaceDE/>
              <w:autoSpaceDN/>
              <w:bidi w:val="0"/>
              <w:spacing w:line="360" w:lineRule="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提供一个近3年内</w:t>
            </w:r>
            <w:r>
              <w:rPr>
                <w:rFonts w:hint="eastAsia" w:ascii="宋体" w:hAnsi="宋体" w:cs="宋体"/>
                <w:i w:val="0"/>
                <w:iCs w:val="0"/>
                <w:color w:val="000000"/>
                <w:kern w:val="0"/>
                <w:sz w:val="24"/>
                <w:szCs w:val="24"/>
                <w:highlight w:val="none"/>
                <w:u w:val="none"/>
                <w:lang w:val="en-US" w:eastAsia="zh-CN" w:bidi="ar"/>
              </w:rPr>
              <w:t>承担过</w:t>
            </w:r>
            <w:r>
              <w:rPr>
                <w:rFonts w:hint="default" w:ascii="Times New Roman" w:hAnsi="Times New Roman" w:cs="Times New Roman"/>
                <w:color w:val="auto"/>
                <w:highlight w:val="none"/>
                <w:lang w:val="en-US" w:eastAsia="zh-CN"/>
              </w:rPr>
              <w:t>单个</w:t>
            </w:r>
            <w:r>
              <w:rPr>
                <w:rFonts w:hint="eastAsia" w:cs="Times New Roman"/>
                <w:color w:val="auto"/>
                <w:highlight w:val="none"/>
                <w:lang w:val="en-US" w:eastAsia="zh-CN"/>
              </w:rPr>
              <w:t>合同数量</w:t>
            </w:r>
            <w:r>
              <w:rPr>
                <w:rFonts w:hint="default" w:ascii="Times New Roman" w:hAnsi="Times New Roman" w:cs="Times New Roman"/>
                <w:color w:val="auto"/>
                <w:highlight w:val="none"/>
                <w:lang w:val="en-US" w:eastAsia="zh-CN"/>
              </w:rPr>
              <w:t>不少于</w:t>
            </w:r>
            <w:r>
              <w:rPr>
                <w:rFonts w:hint="eastAsia" w:ascii="Times New Roman" w:hAnsi="Times New Roman" w:cs="Times New Roman"/>
                <w:color w:val="auto"/>
                <w:highlight w:val="none"/>
                <w:lang w:val="en-US" w:eastAsia="zh-CN"/>
              </w:rPr>
              <w:t>10</w:t>
            </w:r>
            <w:r>
              <w:rPr>
                <w:rFonts w:hint="eastAsia" w:cs="Times New Roman"/>
                <w:color w:val="auto"/>
                <w:highlight w:val="none"/>
                <w:lang w:val="en-US" w:eastAsia="zh-CN"/>
              </w:rPr>
              <w:t>万</w:t>
            </w:r>
            <w:r>
              <w:rPr>
                <w:rFonts w:hint="default" w:ascii="Times New Roman" w:hAnsi="Times New Roman" w:cs="Times New Roman"/>
                <w:color w:val="auto"/>
                <w:highlight w:val="none"/>
                <w:lang w:val="en-US" w:eastAsia="zh-CN"/>
              </w:rPr>
              <w:t>m³或</w:t>
            </w:r>
            <w:r>
              <w:rPr>
                <w:rFonts w:hint="eastAsia" w:cs="Times New Roman"/>
                <w:color w:val="auto"/>
                <w:highlight w:val="none"/>
                <w:lang w:val="en-US" w:eastAsia="zh-CN"/>
              </w:rPr>
              <w:t>20</w:t>
            </w:r>
            <w:r>
              <w:rPr>
                <w:rFonts w:hint="default" w:ascii="Times New Roman" w:hAnsi="Times New Roman" w:cs="Times New Roman"/>
                <w:color w:val="auto"/>
                <w:highlight w:val="none"/>
                <w:lang w:val="en-US" w:eastAsia="zh-CN"/>
              </w:rPr>
              <w:t>万吨的开山石渣供应业绩。</w:t>
            </w:r>
          </w:p>
          <w:p w14:paraId="7290FD4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8"/>
                <w:szCs w:val="28"/>
              </w:rPr>
            </w:pPr>
            <w:r>
              <w:rPr>
                <w:rFonts w:hint="eastAsia" w:cs="Times New Roman"/>
                <w:color w:val="auto"/>
                <w:highlight w:val="none"/>
                <w:lang w:val="en-US" w:eastAsia="zh-CN"/>
              </w:rPr>
              <w:t>2.</w:t>
            </w:r>
            <w:r>
              <w:rPr>
                <w:rFonts w:hint="default" w:ascii="Times New Roman" w:hAnsi="Times New Roman" w:cs="Times New Roman"/>
                <w:color w:val="auto"/>
                <w:highlight w:val="none"/>
                <w:lang w:val="en-US" w:eastAsia="zh-CN"/>
              </w:rPr>
              <w:t>提供一个近3年内</w:t>
            </w:r>
            <w:r>
              <w:rPr>
                <w:rFonts w:hint="eastAsia" w:ascii="宋体" w:hAnsi="宋体" w:cs="宋体"/>
                <w:i w:val="0"/>
                <w:iCs w:val="0"/>
                <w:color w:val="000000"/>
                <w:kern w:val="0"/>
                <w:sz w:val="24"/>
                <w:szCs w:val="24"/>
                <w:highlight w:val="none"/>
                <w:u w:val="none"/>
                <w:lang w:val="en-US" w:eastAsia="zh-CN" w:bidi="ar"/>
              </w:rPr>
              <w:t>承担过</w:t>
            </w:r>
            <w:r>
              <w:rPr>
                <w:rFonts w:hint="default" w:ascii="Times New Roman" w:hAnsi="Times New Roman" w:cs="Times New Roman"/>
                <w:color w:val="auto"/>
                <w:highlight w:val="none"/>
                <w:lang w:val="en-US" w:eastAsia="zh-CN"/>
              </w:rPr>
              <w:t>单个</w:t>
            </w:r>
            <w:r>
              <w:rPr>
                <w:rFonts w:hint="eastAsia" w:cs="Times New Roman"/>
                <w:color w:val="auto"/>
                <w:highlight w:val="none"/>
                <w:lang w:val="en-US" w:eastAsia="zh-CN"/>
              </w:rPr>
              <w:t>合同数量</w:t>
            </w:r>
            <w:r>
              <w:rPr>
                <w:rFonts w:hint="default" w:ascii="Times New Roman" w:hAnsi="Times New Roman" w:cs="Times New Roman"/>
                <w:color w:val="auto"/>
                <w:highlight w:val="none"/>
                <w:lang w:val="en-US" w:eastAsia="zh-CN"/>
              </w:rPr>
              <w:t>不少于</w:t>
            </w:r>
            <w:r>
              <w:rPr>
                <w:rFonts w:hint="eastAsia" w:cs="Times New Roman"/>
                <w:color w:val="auto"/>
                <w:highlight w:val="none"/>
                <w:lang w:val="en-US" w:eastAsia="zh-CN"/>
              </w:rPr>
              <w:t>1.5</w:t>
            </w:r>
            <w:r>
              <w:rPr>
                <w:rFonts w:hint="default" w:ascii="Times New Roman" w:hAnsi="Times New Roman" w:cs="Times New Roman"/>
                <w:color w:val="auto"/>
                <w:highlight w:val="none"/>
                <w:lang w:val="en-US" w:eastAsia="zh-CN"/>
              </w:rPr>
              <w:t>万m³或</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万吨的</w:t>
            </w:r>
            <w:r>
              <w:rPr>
                <w:rFonts w:hint="eastAsia" w:cs="Times New Roman"/>
                <w:color w:val="auto"/>
                <w:highlight w:val="none"/>
                <w:lang w:val="en-US" w:eastAsia="zh-CN"/>
              </w:rPr>
              <w:t>碎石</w:t>
            </w:r>
            <w:r>
              <w:rPr>
                <w:rFonts w:hint="default" w:ascii="Times New Roman" w:hAnsi="Times New Roman" w:cs="Times New Roman"/>
                <w:color w:val="auto"/>
                <w:highlight w:val="none"/>
                <w:lang w:val="en-US" w:eastAsia="zh-CN"/>
              </w:rPr>
              <w:t>供应业绩。</w:t>
            </w:r>
          </w:p>
        </w:tc>
      </w:tr>
    </w:tbl>
    <w:p w14:paraId="5E2214CF">
      <w:pPr>
        <w:pStyle w:val="4"/>
        <w:keepNext w:val="0"/>
        <w:keepLines w:val="0"/>
        <w:pageBreakBefore w:val="0"/>
        <w:widowControl w:val="0"/>
        <w:kinsoku/>
        <w:wordWrap/>
        <w:overflowPunct/>
        <w:topLinePunct w:val="0"/>
        <w:autoSpaceDE/>
        <w:autoSpaceDN/>
        <w:bidi w:val="0"/>
        <w:adjustRightInd w:val="0"/>
        <w:snapToGrid/>
        <w:spacing w:after="0" w:line="440" w:lineRule="exact"/>
        <w:ind w:left="0" w:leftChars="0" w:firstLine="420" w:firstLineChars="200"/>
        <w:jc w:val="left"/>
        <w:textAlignment w:val="baseline"/>
        <w:rPr>
          <w:rFonts w:hint="default" w:ascii="Times New Roman" w:hAnsi="Times New Roman" w:eastAsia="黑体" w:cs="Times New Roman"/>
          <w:color w:val="auto"/>
          <w:kern w:val="0"/>
          <w:sz w:val="21"/>
          <w:szCs w:val="24"/>
          <w:highlight w:val="none"/>
        </w:rPr>
      </w:pPr>
      <w:r>
        <w:rPr>
          <w:rFonts w:hint="default" w:ascii="Times New Roman" w:hAnsi="Times New Roman" w:eastAsia="黑体" w:cs="Times New Roman"/>
          <w:color w:val="auto"/>
          <w:kern w:val="0"/>
          <w:sz w:val="21"/>
          <w:szCs w:val="24"/>
          <w:highlight w:val="none"/>
        </w:rPr>
        <w:t>注：</w:t>
      </w:r>
      <w:r>
        <w:rPr>
          <w:rFonts w:hint="eastAsia" w:eastAsia="黑体" w:cs="Times New Roman"/>
          <w:color w:val="auto"/>
          <w:kern w:val="0"/>
          <w:sz w:val="21"/>
          <w:szCs w:val="24"/>
          <w:highlight w:val="none"/>
          <w:lang w:val="en-US" w:eastAsia="zh-CN"/>
        </w:rPr>
        <w:t>供应商</w:t>
      </w:r>
      <w:r>
        <w:rPr>
          <w:rFonts w:hint="default" w:ascii="Times New Roman" w:hAnsi="Times New Roman" w:eastAsia="黑体" w:cs="Times New Roman"/>
          <w:color w:val="auto"/>
          <w:kern w:val="0"/>
          <w:sz w:val="21"/>
          <w:szCs w:val="24"/>
          <w:highlight w:val="none"/>
          <w:lang w:val="en-US" w:eastAsia="zh-CN"/>
        </w:rPr>
        <w:t>应提供近3年</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以签订合同时间为准</w:t>
      </w:r>
      <w:r>
        <w:rPr>
          <w:rFonts w:hint="default" w:eastAsia="黑体" w:cs="Times New Roman"/>
          <w:color w:val="auto"/>
          <w:kern w:val="0"/>
          <w:sz w:val="21"/>
          <w:szCs w:val="24"/>
          <w:highlight w:val="none"/>
          <w:lang w:val="en-US" w:eastAsia="zh-CN"/>
        </w:rPr>
        <w:t>）</w:t>
      </w:r>
      <w:r>
        <w:rPr>
          <w:rFonts w:hint="default" w:ascii="Times New Roman" w:hAnsi="Times New Roman" w:eastAsia="黑体" w:cs="Times New Roman"/>
          <w:color w:val="auto"/>
          <w:kern w:val="0"/>
          <w:sz w:val="21"/>
          <w:szCs w:val="24"/>
          <w:highlight w:val="none"/>
          <w:lang w:val="en-US" w:eastAsia="zh-CN"/>
        </w:rPr>
        <w:t>来承担的类似</w:t>
      </w:r>
      <w:r>
        <w:rPr>
          <w:rFonts w:hint="default" w:eastAsia="黑体" w:cs="Times New Roman"/>
          <w:color w:val="auto"/>
          <w:kern w:val="0"/>
          <w:sz w:val="21"/>
          <w:szCs w:val="24"/>
          <w:highlight w:val="none"/>
          <w:lang w:val="en-US" w:eastAsia="zh-CN"/>
        </w:rPr>
        <w:t>业绩</w:t>
      </w:r>
      <w:r>
        <w:rPr>
          <w:rFonts w:hint="default"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w:t>
      </w:r>
      <w:r>
        <w:rPr>
          <w:rFonts w:hint="default" w:eastAsia="黑体" w:cs="Times New Roman"/>
          <w:color w:val="auto"/>
          <w:kern w:val="0"/>
          <w:sz w:val="21"/>
          <w:szCs w:val="24"/>
          <w:highlight w:val="none"/>
          <w:lang w:val="en-US" w:eastAsia="zh-CN"/>
        </w:rPr>
        <w:t>采购人</w:t>
      </w:r>
      <w:r>
        <w:rPr>
          <w:rFonts w:hint="default" w:ascii="Times New Roman" w:hAnsi="Times New Roman" w:eastAsia="黑体" w:cs="Times New Roman"/>
          <w:color w:val="auto"/>
          <w:kern w:val="0"/>
          <w:sz w:val="21"/>
          <w:szCs w:val="24"/>
          <w:highlight w:val="none"/>
          <w:lang w:val="en-US" w:eastAsia="zh-CN"/>
        </w:rPr>
        <w:t>在对</w:t>
      </w:r>
      <w:r>
        <w:rPr>
          <w:rFonts w:hint="eastAsia" w:eastAsia="黑体" w:cs="Times New Roman"/>
          <w:color w:val="auto"/>
          <w:kern w:val="0"/>
          <w:sz w:val="21"/>
          <w:szCs w:val="24"/>
          <w:highlight w:val="none"/>
          <w:lang w:val="en-US" w:eastAsia="zh-CN"/>
        </w:rPr>
        <w:t>供应商</w:t>
      </w:r>
      <w:r>
        <w:rPr>
          <w:rFonts w:hint="default" w:ascii="Times New Roman" w:hAnsi="Times New Roman" w:eastAsia="黑体" w:cs="Times New Roman"/>
          <w:color w:val="auto"/>
          <w:kern w:val="0"/>
          <w:sz w:val="21"/>
          <w:szCs w:val="24"/>
          <w:highlight w:val="none"/>
          <w:lang w:val="en-US" w:eastAsia="zh-CN"/>
        </w:rPr>
        <w:t>进行业绩审查时将不考虑该业绩。</w:t>
      </w:r>
    </w:p>
    <w:p w14:paraId="16872228">
      <w:pPr>
        <w:pStyle w:val="4"/>
        <w:keepNext w:val="0"/>
        <w:keepLines w:val="0"/>
        <w:pageBreakBefore w:val="0"/>
        <w:widowControl w:val="0"/>
        <w:kinsoku/>
        <w:wordWrap/>
        <w:overflowPunct/>
        <w:topLinePunct w:val="0"/>
        <w:autoSpaceDE/>
        <w:autoSpaceDN/>
        <w:bidi w:val="0"/>
        <w:adjustRightInd w:val="0"/>
        <w:snapToGrid/>
        <w:spacing w:after="0" w:line="440" w:lineRule="exact"/>
        <w:ind w:left="0" w:leftChars="0" w:firstLine="560" w:firstLineChars="200"/>
        <w:jc w:val="center"/>
        <w:textAlignment w:val="baseline"/>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14:paraId="7BBCCDD5">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26"/>
      </w:tblGrid>
      <w:tr w14:paraId="1862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14:paraId="7CE6E91C">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32"/>
                <w:lang w:val="en-US" w:eastAsia="zh-CN"/>
              </w:rPr>
              <w:t>合同包</w:t>
            </w:r>
          </w:p>
        </w:tc>
        <w:tc>
          <w:tcPr>
            <w:tcW w:w="7073" w:type="dxa"/>
            <w:noWrap w:val="0"/>
            <w:vAlign w:val="center"/>
          </w:tcPr>
          <w:p w14:paraId="2C2E654B">
            <w:pPr>
              <w:keepNext w:val="0"/>
              <w:keepLines w:val="0"/>
              <w:pageBreakBefore w:val="0"/>
              <w:kinsoku/>
              <w:overflowPunct/>
              <w:topLinePunct w:val="0"/>
              <w:autoSpaceDE/>
              <w:autoSpaceDN/>
              <w:bidi w:val="0"/>
              <w:snapToGrid w:val="0"/>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信誉要求</w:t>
            </w:r>
          </w:p>
        </w:tc>
      </w:tr>
      <w:tr w14:paraId="5A1F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14:paraId="2E871DDD">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default" w:cs="Times New Roman"/>
                <w:color w:val="auto"/>
                <w:sz w:val="24"/>
                <w:szCs w:val="24"/>
                <w:lang w:val="en-US" w:eastAsia="zh-CN"/>
              </w:rPr>
              <w:t>第1合同包</w:t>
            </w:r>
          </w:p>
        </w:tc>
        <w:tc>
          <w:tcPr>
            <w:tcW w:w="7073" w:type="dxa"/>
            <w:noWrap w:val="0"/>
            <w:vAlign w:val="center"/>
          </w:tcPr>
          <w:p w14:paraId="63803A83">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14:paraId="14F16825">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14:paraId="73C8D70C">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cs="Times New Roman"/>
                <w:color w:val="auto"/>
                <w:lang w:val="en-US" w:eastAsia="zh-CN"/>
              </w:rPr>
              <w:t>2</w:t>
            </w:r>
            <w:r>
              <w:rPr>
                <w:rFonts w:hint="default" w:ascii="Times New Roman" w:hAnsi="Times New Roman" w:cs="Times New Roman"/>
                <w:color w:val="auto"/>
              </w:rPr>
              <w:t>、存在下列不良状况或不良信用记录：</w:t>
            </w:r>
          </w:p>
          <w:p w14:paraId="3406DC9D">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14:paraId="19FAD943">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default"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14:paraId="1ECE3137">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w:t>
            </w:r>
            <w:r>
              <w:rPr>
                <w:rFonts w:hint="eastAsia" w:cs="Times New Roman"/>
                <w:color w:val="auto"/>
                <w:lang w:eastAsia="zh-CN"/>
              </w:rPr>
              <w:t>供应商</w:t>
            </w:r>
            <w:r>
              <w:rPr>
                <w:rFonts w:hint="default" w:ascii="Times New Roman" w:hAnsi="Times New Roman" w:cs="Times New Roman"/>
                <w:color w:val="auto"/>
              </w:rPr>
              <w:t>或其法定代表人在近三年内有行贿犯罪行为的；</w:t>
            </w:r>
          </w:p>
          <w:p w14:paraId="1222BB2E">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Times New Roman" w:hAnsi="Times New Roman" w:eastAsia="宋体" w:cs="Times New Roman"/>
                <w:sz w:val="24"/>
                <w:szCs w:val="24"/>
              </w:rPr>
              <w:t>其他在“信用中国”网站（http://www.creditchina.gov.cn/）中被列为</w:t>
            </w:r>
            <w:r>
              <w:rPr>
                <w:rFonts w:hint="default" w:ascii="Times New Roman" w:hAnsi="Times New Roman" w:cs="Times New Roman"/>
                <w:sz w:val="24"/>
                <w:szCs w:val="24"/>
                <w:lang w:val="en-US" w:eastAsia="zh-CN"/>
              </w:rPr>
              <w:t>严重失信主体名单</w:t>
            </w:r>
            <w:r>
              <w:rPr>
                <w:rFonts w:ascii="Times New Roman" w:hAnsi="Times New Roman" w:eastAsia="宋体" w:cs="Times New Roman"/>
                <w:sz w:val="24"/>
                <w:szCs w:val="24"/>
              </w:rPr>
              <w:t>，且按联合惩戒要求禁止参与招投标的；</w:t>
            </w:r>
          </w:p>
          <w:p w14:paraId="2FE02C52">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（5）上一年度</w:t>
            </w:r>
            <w:r>
              <w:rPr>
                <w:rFonts w:hint="eastAsia" w:cs="Times New Roman"/>
                <w:color w:val="auto"/>
                <w:lang w:eastAsia="zh-CN"/>
              </w:rPr>
              <w:t>信用评价</w:t>
            </w:r>
            <w:r>
              <w:rPr>
                <w:rFonts w:hint="default" w:ascii="Times New Roman" w:hAnsi="Times New Roman" w:cs="Times New Roman"/>
                <w:color w:val="auto"/>
              </w:rPr>
              <w:t>被交投集团公司或建设集团评为D级且在处罚期内的供应商；</w:t>
            </w:r>
          </w:p>
          <w:p w14:paraId="15EE8EB8">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r>
              <w:rPr>
                <w:rFonts w:hint="default" w:ascii="Times New Roman" w:hAnsi="Times New Roman" w:cs="Times New Roman"/>
                <w:color w:val="auto"/>
              </w:rPr>
              <w:t>（6）近三年度被列入交投集团公司或建设集团“</w:t>
            </w:r>
            <w:r>
              <w:rPr>
                <w:rFonts w:hint="eastAsia" w:cs="Times New Roman"/>
                <w:color w:val="auto"/>
                <w:lang w:eastAsia="zh-CN"/>
              </w:rPr>
              <w:t>不良行为记录名单</w:t>
            </w:r>
            <w:r>
              <w:rPr>
                <w:rFonts w:hint="default" w:ascii="Times New Roman" w:hAnsi="Times New Roman" w:cs="Times New Roman"/>
                <w:color w:val="auto"/>
              </w:rPr>
              <w:t>”且在处罚期内的供应商。</w:t>
            </w:r>
          </w:p>
        </w:tc>
      </w:tr>
    </w:tbl>
    <w:p w14:paraId="0E844ED4">
      <w:r>
        <w:rPr>
          <w:rFonts w:hint="default" w:ascii="Times New Roman" w:hAnsi="Times New Roman" w:eastAsia="黑体" w:cs="Times New Roman"/>
          <w:color w:val="auto"/>
          <w:sz w:val="21"/>
          <w:szCs w:val="21"/>
        </w:rPr>
        <w:t>注：对以上（1）、（2）、（4）信用状况应附指定网站截图。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0707D"/>
    <w:rsid w:val="01FD6FB9"/>
    <w:rsid w:val="035D6A6E"/>
    <w:rsid w:val="06494666"/>
    <w:rsid w:val="096E0063"/>
    <w:rsid w:val="0D022D56"/>
    <w:rsid w:val="14E961B3"/>
    <w:rsid w:val="22B35F42"/>
    <w:rsid w:val="22F71D4A"/>
    <w:rsid w:val="2E935BA6"/>
    <w:rsid w:val="324F5A8E"/>
    <w:rsid w:val="32DD447F"/>
    <w:rsid w:val="35F05419"/>
    <w:rsid w:val="381E1D90"/>
    <w:rsid w:val="39317225"/>
    <w:rsid w:val="48F77461"/>
    <w:rsid w:val="49074F94"/>
    <w:rsid w:val="4A845F6A"/>
    <w:rsid w:val="4FDB475F"/>
    <w:rsid w:val="559B17CF"/>
    <w:rsid w:val="5FCE36F9"/>
    <w:rsid w:val="5FDF3370"/>
    <w:rsid w:val="65CD5177"/>
    <w:rsid w:val="6BBA3E5B"/>
    <w:rsid w:val="6CB7082E"/>
    <w:rsid w:val="6FD86023"/>
    <w:rsid w:val="73CC21A0"/>
    <w:rsid w:val="74AB3995"/>
    <w:rsid w:val="75B26F10"/>
    <w:rsid w:val="763D5AC7"/>
    <w:rsid w:val="76553754"/>
    <w:rsid w:val="7890707D"/>
    <w:rsid w:val="7A8B0C69"/>
    <w:rsid w:val="7C81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qFormat/>
    <w:uiPriority w:val="1"/>
    <w:pPr>
      <w:ind w:left="101"/>
    </w:pPr>
    <w:rPr>
      <w:rFonts w:ascii="宋体" w:hAnsi="宋体" w:eastAsia="宋体" w:cs="宋体"/>
      <w:lang w:val="zh-CN" w:bidi="zh-CN"/>
    </w:rPr>
  </w:style>
  <w:style w:type="paragraph" w:styleId="4">
    <w:name w:val="Body Text Indent"/>
    <w:basedOn w:val="1"/>
    <w:next w:val="1"/>
    <w:qFormat/>
    <w:uiPriority w:val="0"/>
    <w:pPr>
      <w:spacing w:after="120"/>
      <w:ind w:left="420" w:leftChars="200"/>
    </w:pPr>
  </w:style>
  <w:style w:type="paragraph" w:styleId="5">
    <w:name w:val="Body Text First Indent"/>
    <w:basedOn w:val="3"/>
    <w:next w:val="6"/>
    <w:qFormat/>
    <w:uiPriority w:val="99"/>
    <w:pPr>
      <w:spacing w:line="360" w:lineRule="auto"/>
      <w:ind w:firstLine="420" w:firstLineChars="100"/>
    </w:pPr>
    <w:rPr>
      <w:rFonts w:hAnsi="Times New Roman"/>
      <w:szCs w:val="21"/>
    </w:rPr>
  </w:style>
  <w:style w:type="paragraph" w:styleId="6">
    <w:name w:val="Body Text First Indent 2"/>
    <w:basedOn w:val="4"/>
    <w:next w:val="5"/>
    <w:unhideWhenUsed/>
    <w:qFormat/>
    <w:uiPriority w:val="99"/>
    <w:pPr>
      <w:ind w:firstLine="420" w:firstLineChars="200"/>
    </w:pPr>
    <w:rPr>
      <w:rFonts w:ascii="Times New Roman" w:hAnsi="Times New Roman"/>
    </w:rPr>
  </w:style>
  <w:style w:type="paragraph" w:customStyle="1" w:styleId="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1137</Words>
  <Characters>1236</Characters>
  <Lines>0</Lines>
  <Paragraphs>0</Paragraphs>
  <TotalTime>0</TotalTime>
  <ScaleCrop>false</ScaleCrop>
  <LinksUpToDate>false</LinksUpToDate>
  <CharactersWithSpaces>1254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2025-07-08T06:59:00Z</dcterms:created>
  <dc:creator>姜菲</dc:creator>
  <cp:lastModifiedBy>姜菲</cp:lastModifiedBy>
  <dcterms:modified xsi:type="dcterms:W3CDTF">2025-07-08T08:09:47Z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E21BC61558D04B8F83C1801529F84988_13</vt:lpwstr>
  </property>
  <property fmtid="{D5CDD505-2E9C-101B-9397-08002B2CF9AE}" pid="4" name="KSOTemplateDocerSaveRecord">
    <vt:lpwstr>eyJoZGlkIjoiZmUwMzQ0N2NkZTY1MmNkNzU0NTJkOTA1MDZhZjE1NjciLCJ1c2VySWQiOiIxNjg1NzEwNjE1In0=</vt:lpwstr>
  </property>
</Properties>
</file>